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A0160" w14:textId="77777777" w:rsidR="00EC1A42" w:rsidRPr="00EC1A42" w:rsidRDefault="00EC1A42" w:rsidP="00EC1A42">
      <w:pPr>
        <w:spacing w:line="240" w:lineRule="auto"/>
        <w:rPr>
          <w:rFonts w:asciiTheme="majorHAnsi" w:hAnsiTheme="majorHAnsi" w:cstheme="majorHAnsi"/>
          <w:b/>
        </w:rPr>
      </w:pPr>
      <w:r w:rsidRPr="00EC1A42">
        <w:rPr>
          <w:rFonts w:asciiTheme="majorHAnsi" w:eastAsia="Times New Roman" w:hAnsiTheme="majorHAnsi" w:cstheme="majorHAnsi"/>
          <w:b/>
        </w:rPr>
        <w:t>DNA.ZP.262.17.2025</w:t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r w:rsidRPr="00EC1A42">
        <w:rPr>
          <w:rFonts w:asciiTheme="majorHAnsi" w:hAnsiTheme="majorHAnsi" w:cstheme="majorHAnsi"/>
          <w:b/>
        </w:rPr>
        <w:tab/>
      </w:r>
      <w:proofErr w:type="spellStart"/>
      <w:r w:rsidRPr="00EC1A42">
        <w:rPr>
          <w:rFonts w:asciiTheme="majorHAnsi" w:hAnsiTheme="majorHAnsi" w:cstheme="majorHAnsi"/>
          <w:b/>
        </w:rPr>
        <w:t>Załącznik</w:t>
      </w:r>
      <w:proofErr w:type="spellEnd"/>
      <w:r w:rsidRPr="00EC1A42">
        <w:rPr>
          <w:rFonts w:asciiTheme="majorHAnsi" w:hAnsiTheme="majorHAnsi" w:cstheme="majorHAnsi"/>
          <w:b/>
        </w:rPr>
        <w:t xml:space="preserve"> nr 1</w:t>
      </w:r>
    </w:p>
    <w:p w14:paraId="4E359ECD" w14:textId="77777777" w:rsidR="00EC1A42" w:rsidRPr="00EC1A42" w:rsidRDefault="00EC1A42" w:rsidP="00EC1A42">
      <w:pPr>
        <w:rPr>
          <w:rFonts w:asciiTheme="majorHAnsi" w:hAnsiTheme="majorHAnsi" w:cstheme="majorHAnsi"/>
          <w:bCs/>
          <w:lang w:val="pl-PL"/>
        </w:rPr>
      </w:pPr>
    </w:p>
    <w:p w14:paraId="3592A738" w14:textId="1DF15424" w:rsidR="00B9135C" w:rsidRPr="00EC1A42" w:rsidRDefault="00F7298A">
      <w:pPr>
        <w:jc w:val="center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OPIS PRZEDMIOTU ZAMÓWIENIA (OPZ) – SPECYFIKACJA TECHNICZNA</w:t>
      </w:r>
    </w:p>
    <w:p w14:paraId="7564B65A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1. Informacje ogólne</w:t>
      </w:r>
    </w:p>
    <w:p w14:paraId="33B49428" w14:textId="6883A73B" w:rsidR="00B9135C" w:rsidRPr="00EC1A42" w:rsidRDefault="00F7298A">
      <w:pPr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Niniejszy OPZ określa wymagania Zamawiającego dotyczące świadczenia usług serwisowych dla urządzeń typu Zebra L10, w ramach postępowania podzielonego na dwa zadania: (</w:t>
      </w:r>
      <w:r w:rsidR="00A00766" w:rsidRPr="00EC1A42">
        <w:rPr>
          <w:rFonts w:asciiTheme="majorHAnsi" w:hAnsiTheme="majorHAnsi" w:cstheme="majorHAnsi"/>
          <w:bCs/>
          <w:lang w:val="pl-PL"/>
        </w:rPr>
        <w:t>I</w:t>
      </w:r>
      <w:r w:rsidRPr="00EC1A42">
        <w:rPr>
          <w:rFonts w:asciiTheme="majorHAnsi" w:hAnsiTheme="majorHAnsi" w:cstheme="majorHAnsi"/>
          <w:bCs/>
          <w:lang w:val="pl-PL"/>
        </w:rPr>
        <w:t>) roczny kontrakt serwisowy producenta dla 100 tabletów, (</w:t>
      </w:r>
      <w:r w:rsidR="00A00766" w:rsidRPr="00EC1A42">
        <w:rPr>
          <w:rFonts w:asciiTheme="majorHAnsi" w:hAnsiTheme="majorHAnsi" w:cstheme="majorHAnsi"/>
          <w:bCs/>
          <w:lang w:val="pl-PL"/>
        </w:rPr>
        <w:t>II</w:t>
      </w:r>
      <w:r w:rsidRPr="00EC1A42">
        <w:rPr>
          <w:rFonts w:asciiTheme="majorHAnsi" w:hAnsiTheme="majorHAnsi" w:cstheme="majorHAnsi"/>
          <w:bCs/>
          <w:lang w:val="pl-PL"/>
        </w:rPr>
        <w:t>) usługi serwisowe akcesoriów (stacje/podstawy dokujące, zasilacze sieciowe, przewody, baterie).</w:t>
      </w:r>
    </w:p>
    <w:p w14:paraId="31A486F1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2. Kody CPV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03"/>
        <w:gridCol w:w="4703"/>
      </w:tblGrid>
      <w:tr w:rsidR="00862834" w:rsidRPr="00EC1A42" w14:paraId="0F99E778" w14:textId="77777777">
        <w:tc>
          <w:tcPr>
            <w:tcW w:w="4703" w:type="dxa"/>
          </w:tcPr>
          <w:p w14:paraId="0FD99F2D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Kod CPV</w:t>
            </w:r>
          </w:p>
        </w:tc>
        <w:tc>
          <w:tcPr>
            <w:tcW w:w="4703" w:type="dxa"/>
          </w:tcPr>
          <w:p w14:paraId="2ABC29BC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Opis</w:t>
            </w:r>
          </w:p>
        </w:tc>
      </w:tr>
      <w:tr w:rsidR="00862834" w:rsidRPr="00EC1A42" w14:paraId="341FD159" w14:textId="77777777">
        <w:tc>
          <w:tcPr>
            <w:tcW w:w="4703" w:type="dxa"/>
          </w:tcPr>
          <w:p w14:paraId="1E5195BA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50312000-5</w:t>
            </w:r>
          </w:p>
        </w:tc>
        <w:tc>
          <w:tcPr>
            <w:tcW w:w="4703" w:type="dxa"/>
          </w:tcPr>
          <w:p w14:paraId="3AE9BDB6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Konserwacja i naprawa sprzętu komputerowego (kod główny)</w:t>
            </w:r>
          </w:p>
        </w:tc>
      </w:tr>
      <w:tr w:rsidR="00862834" w:rsidRPr="00EC1A42" w14:paraId="3F1DA718" w14:textId="77777777">
        <w:tc>
          <w:tcPr>
            <w:tcW w:w="4703" w:type="dxa"/>
          </w:tcPr>
          <w:p w14:paraId="43AF2231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50323000-5</w:t>
            </w:r>
          </w:p>
        </w:tc>
        <w:tc>
          <w:tcPr>
            <w:tcW w:w="4703" w:type="dxa"/>
          </w:tcPr>
          <w:p w14:paraId="30BF89FE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Konserwacja i naprawa urządzeń peryferyjnych do komputerów</w:t>
            </w:r>
          </w:p>
        </w:tc>
      </w:tr>
      <w:tr w:rsidR="00862834" w:rsidRPr="00EC1A42" w14:paraId="1291C9A0" w14:textId="77777777">
        <w:tc>
          <w:tcPr>
            <w:tcW w:w="4703" w:type="dxa"/>
          </w:tcPr>
          <w:p w14:paraId="6FA02B0B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50320000-4</w:t>
            </w:r>
          </w:p>
        </w:tc>
        <w:tc>
          <w:tcPr>
            <w:tcW w:w="4703" w:type="dxa"/>
          </w:tcPr>
          <w:p w14:paraId="6EA03157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Usługi napraw i konserwacji komputerów osobistych</w:t>
            </w:r>
          </w:p>
        </w:tc>
      </w:tr>
    </w:tbl>
    <w:p w14:paraId="7DF0ABB4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3. Zakres i definicje</w:t>
      </w:r>
    </w:p>
    <w:p w14:paraId="14F81B85" w14:textId="77777777" w:rsidR="00B9135C" w:rsidRPr="00EC1A42" w:rsidRDefault="00F7298A">
      <w:pPr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„Tablety” – urządzenia Zebra XSLATE L10 (rodzina L10WXX).</w:t>
      </w:r>
    </w:p>
    <w:p w14:paraId="0D446C00" w14:textId="77777777" w:rsidR="00B9135C" w:rsidRPr="00EC1A42" w:rsidRDefault="00F7298A">
      <w:pPr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„Akcesoria” – podstawy/stacje dokujące do tabletów, zasilacze sieciowe, przewody zasilające/dokujące, baterie do tabletów.</w:t>
      </w:r>
    </w:p>
    <w:p w14:paraId="14EFF5B3" w14:textId="77777777" w:rsidR="00B9135C" w:rsidRPr="00EC1A42" w:rsidRDefault="00F7298A">
      <w:pPr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„RMA” – numer sprawy wymagany do przyjęcia urządzenia do naprawy w autoryzowanym serwisie producenta.</w:t>
      </w:r>
    </w:p>
    <w:p w14:paraId="54B18242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4. Zadanie 1 – roczny kontrakt serwisowy producenta dla 100 tabletów Zebra L10</w:t>
      </w:r>
    </w:p>
    <w:p w14:paraId="38DEFA97" w14:textId="77777777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4.1 Przedmiot i ilość</w:t>
      </w:r>
    </w:p>
    <w:p w14:paraId="5D4039D0" w14:textId="6C460B82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Przedmiotem jest zakup i aktywacja kontraktu serwisowego producenta dla 100 (stu) tabletów Zebra L10, oznaczenie usługi producenta: Z1BE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L10WXX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1C00.</w:t>
      </w:r>
    </w:p>
    <w:p w14:paraId="03F6BAEE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Kontrakt przypisany do numerów seryjnych wskazanych przez Zamawiającego; okres obowiązywania dla każdego urządzenia: 12 miesięcy od daty aktywacji.</w:t>
      </w:r>
    </w:p>
    <w:p w14:paraId="2B6DF230" w14:textId="77777777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4.2 Zakres świadczenia i wymagania minimalne</w:t>
      </w:r>
    </w:p>
    <w:p w14:paraId="33F0D7FB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Naprawy w autoryzowanym centrum serwisowym producenta, obejmujące awarie funkcjonalne oraz przypadkowe uszkodzenia (w tym m.in. elementy obudowy/ekranu, panel dotykowy, złącza i elementy zewnętrzne).</w:t>
      </w:r>
    </w:p>
    <w:p w14:paraId="399A8908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Czas realizacji naprawy: do 3 dni roboczych liczony od przyjęcia urządzenia w autoryzowanym serwisie (nie obejmuje czasu transportu).</w:t>
      </w:r>
    </w:p>
    <w:p w14:paraId="7887D15E" w14:textId="6AE04779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lastRenderedPageBreak/>
        <w:t>Wsparcie telefoniczne w dni robocze z agentem na żywo; możliwość zgłoszeń przez portal napraw i/e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mail; nadawanie numerów RMA; statusy on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line.</w:t>
      </w:r>
    </w:p>
    <w:p w14:paraId="0D77FEB5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Dostęp do aktualizacji oprogramowania i poprawek bezpieczeństwa; dostęp do pulpitu on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line prezentującego naprawy, umowy i wskaźniki.</w:t>
      </w:r>
    </w:p>
    <w:p w14:paraId="4F732D76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Logistyka: Zamawiający dostarcza urządzenie do autoryzowanego serwisu na własny koszt; po naprawie odsyłka do Zamawiającego na koszt serwisu producenta.</w:t>
      </w:r>
    </w:p>
    <w:p w14:paraId="16F5CAA6" w14:textId="4FAF1E6F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4.</w:t>
      </w:r>
      <w:r w:rsidR="00A33EE4" w:rsidRPr="00EC1A42">
        <w:rPr>
          <w:rFonts w:cstheme="majorHAnsi"/>
          <w:b w:val="0"/>
          <w:color w:val="auto"/>
          <w:sz w:val="22"/>
          <w:szCs w:val="22"/>
          <w:lang w:val="pl-PL"/>
        </w:rPr>
        <w:t>3</w:t>
      </w: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 xml:space="preserve"> Rejestracja kontraktu i dokumentacja</w:t>
      </w:r>
    </w:p>
    <w:p w14:paraId="6E6BF51B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Wykonawca w terminie 10 dni roboczych od otrzymania kompletu numerów seryjnych dokonuje rejestracji kontraktu i przekazuje Zamawiającemu potwierdzenie przyjęcia do realizacji wraz z numerem kontraktu.</w:t>
      </w:r>
    </w:p>
    <w:p w14:paraId="3EA6EC7E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Zamawiający przekazuje listę 100 numerów seryjnych w terminie 5 dni roboczych od podpisania umowy.</w:t>
      </w:r>
    </w:p>
    <w:p w14:paraId="24CB75F7" w14:textId="77777777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4.5 Warunki finansowe (Zadanie 1)</w:t>
      </w:r>
    </w:p>
    <w:p w14:paraId="2C79568E" w14:textId="550205D9" w:rsidR="00B9135C" w:rsidRPr="00EC1A42" w:rsidRDefault="00AC3C59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Cena ryczałtowa:</w:t>
      </w:r>
    </w:p>
    <w:p w14:paraId="45FA468C" w14:textId="4B9A2422" w:rsidR="00B9135C" w:rsidRPr="00EC1A42" w:rsidRDefault="00AC3C59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 xml:space="preserve">Płatność w 12 miesięcznych ratach po każdym miesiącu </w:t>
      </w:r>
      <w:proofErr w:type="spellStart"/>
      <w:r w:rsidRPr="00EC1A42">
        <w:rPr>
          <w:rFonts w:asciiTheme="majorHAnsi" w:hAnsiTheme="majorHAnsi" w:cstheme="majorHAnsi"/>
          <w:bCs/>
          <w:lang w:val="pl-PL"/>
        </w:rPr>
        <w:t>płtne</w:t>
      </w:r>
      <w:proofErr w:type="spellEnd"/>
      <w:r w:rsidRPr="00EC1A42">
        <w:rPr>
          <w:rFonts w:asciiTheme="majorHAnsi" w:hAnsiTheme="majorHAnsi" w:cstheme="majorHAnsi"/>
          <w:bCs/>
          <w:lang w:val="pl-PL"/>
        </w:rPr>
        <w:t xml:space="preserve"> 30 dni od daty wystawienia faktury.</w:t>
      </w:r>
    </w:p>
    <w:p w14:paraId="2D715535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5. Zadanie 2 – usługi serwisowe akcesoriów (stacje/podstawy dokujące, zasilacze, przewody, baterie)</w:t>
      </w:r>
    </w:p>
    <w:p w14:paraId="6FDE9EC1" w14:textId="77777777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5.1 Przedmiot i zakres</w:t>
      </w:r>
    </w:p>
    <w:p w14:paraId="4A7D3D69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Serwis stacji/podstaw dokujących: naprawy portów (USB/ładowania), naprawy/wymiany styków ładowania, regeneracja złączy.</w:t>
      </w:r>
    </w:p>
    <w:p w14:paraId="41A9C32E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Serwis zasilaczy i przewodów: naprawy/wymiany wtyków, modułów, zabezpieczeń; wymiana na egzemplarz sprawny/nowy, jeżeli naprawa nieopłacalna.</w:t>
      </w:r>
    </w:p>
    <w:p w14:paraId="28B193FA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Baterie: wymiany baterii niesprawnych (spadek pojemności, puchnięcie, uszkodzenia konektorów); baterie nowe z min. 12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miesięczną gwarancją.</w:t>
      </w:r>
    </w:p>
    <w:p w14:paraId="3F86B69C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Inne usterki wpływające na funkcjonalność, bezpieczeństwo użytkowania lub szczelność – w zakresie niezbędnym do przywrócenia sprawności.</w:t>
      </w:r>
    </w:p>
    <w:p w14:paraId="2E1861E1" w14:textId="77777777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5.2 Standardy świadczenia (SLA) i logistyka</w:t>
      </w:r>
    </w:p>
    <w:p w14:paraId="786FBB18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Wstępna weryfikacja zgłoszenia: do 4 godzin w dni robocze.</w:t>
      </w:r>
    </w:p>
    <w:p w14:paraId="7169770F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Odbiór akcesoriów do serwisu: do 24 godzin od przyjęcia zgłoszenia; Wykonawca zapewnia etykiety przewozowe, opakowania i odpowiada za transport (</w:t>
      </w:r>
      <w:proofErr w:type="spellStart"/>
      <w:r w:rsidRPr="00EC1A42">
        <w:rPr>
          <w:rFonts w:asciiTheme="majorHAnsi" w:hAnsiTheme="majorHAnsi" w:cstheme="majorHAnsi"/>
          <w:bCs/>
          <w:lang w:val="pl-PL"/>
        </w:rPr>
        <w:t>door</w:t>
      </w:r>
      <w:proofErr w:type="spellEnd"/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to</w:t>
      </w:r>
      <w:r w:rsidRPr="00EC1A42">
        <w:rPr>
          <w:rFonts w:ascii="Cambria Math" w:hAnsi="Cambria Math" w:cs="Cambria Math"/>
          <w:bCs/>
          <w:lang w:val="pl-PL"/>
        </w:rPr>
        <w:t>‑</w:t>
      </w:r>
      <w:proofErr w:type="spellStart"/>
      <w:r w:rsidRPr="00EC1A42">
        <w:rPr>
          <w:rFonts w:asciiTheme="majorHAnsi" w:hAnsiTheme="majorHAnsi" w:cstheme="majorHAnsi"/>
          <w:bCs/>
          <w:lang w:val="pl-PL"/>
        </w:rPr>
        <w:t>door</w:t>
      </w:r>
      <w:proofErr w:type="spellEnd"/>
      <w:r w:rsidRPr="00EC1A42">
        <w:rPr>
          <w:rFonts w:asciiTheme="majorHAnsi" w:hAnsiTheme="majorHAnsi" w:cstheme="majorHAnsi"/>
          <w:bCs/>
          <w:lang w:val="pl-PL"/>
        </w:rPr>
        <w:t>).</w:t>
      </w:r>
    </w:p>
    <w:p w14:paraId="760977A7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Czas naprawy „od drzwi do drzwi”: do 5 dni roboczych.</w:t>
      </w:r>
    </w:p>
    <w:p w14:paraId="64402F96" w14:textId="3DD6EA29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Awaria krytyczna (np. brak możliwości ładowania): zapewnienie egzemplarza zastępczego stacji dokującej lub zasilacza do następnego dnia roboczego; minimalna pula sprzętu zastępczego (nie mniej niż 3 szt.).</w:t>
      </w:r>
    </w:p>
    <w:p w14:paraId="0D6E7951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Kanały zgłoszeń: portal serwisowy, e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mail, telefon; statusy on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line; system RMA.</w:t>
      </w:r>
    </w:p>
    <w:p w14:paraId="17E89862" w14:textId="77777777" w:rsidR="00E2430E" w:rsidRPr="00EC1A42" w:rsidRDefault="00E2430E" w:rsidP="00E2430E">
      <w:pPr>
        <w:pStyle w:val="Listanumerowana"/>
        <w:numPr>
          <w:ilvl w:val="0"/>
          <w:numId w:val="0"/>
        </w:numPr>
        <w:ind w:left="360"/>
        <w:rPr>
          <w:rFonts w:asciiTheme="majorHAnsi" w:hAnsiTheme="majorHAnsi" w:cstheme="majorHAnsi"/>
          <w:bCs/>
          <w:lang w:val="pl-PL"/>
        </w:rPr>
      </w:pPr>
    </w:p>
    <w:p w14:paraId="6230DA83" w14:textId="77777777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5.3 Model cenowy i cennik jednostkowy (do wypełnienia przez Wykonawcę)</w:t>
      </w:r>
    </w:p>
    <w:p w14:paraId="073BB560" w14:textId="77777777" w:rsidR="00B9135C" w:rsidRPr="00EC1A42" w:rsidRDefault="00F7298A">
      <w:pPr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Rozliczenie według cen jednostkowych. Zamawiający zastrzega prawo niepełnego wykorzystania zamówienia; zlecenia będą realizowane sukcesywnie w okresie obowiązywania umowy.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35"/>
        <w:gridCol w:w="3135"/>
        <w:gridCol w:w="3135"/>
      </w:tblGrid>
      <w:tr w:rsidR="00862834" w:rsidRPr="00EC1A42" w14:paraId="7E2D549D" w14:textId="77777777">
        <w:tc>
          <w:tcPr>
            <w:tcW w:w="3135" w:type="dxa"/>
          </w:tcPr>
          <w:p w14:paraId="18A9D8ED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lastRenderedPageBreak/>
              <w:t>Pozycja</w:t>
            </w:r>
          </w:p>
        </w:tc>
        <w:tc>
          <w:tcPr>
            <w:tcW w:w="3135" w:type="dxa"/>
          </w:tcPr>
          <w:p w14:paraId="46F3C6A7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Jednostka</w:t>
            </w:r>
          </w:p>
        </w:tc>
        <w:tc>
          <w:tcPr>
            <w:tcW w:w="3135" w:type="dxa"/>
          </w:tcPr>
          <w:p w14:paraId="1118C43F" w14:textId="77777777" w:rsidR="00B9135C" w:rsidRPr="00EC1A42" w:rsidRDefault="00F7298A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Cena netto [zł]</w:t>
            </w:r>
          </w:p>
        </w:tc>
      </w:tr>
      <w:tr w:rsidR="00862834" w:rsidRPr="00EC1A42" w14:paraId="089CCD2D" w14:textId="77777777">
        <w:tc>
          <w:tcPr>
            <w:tcW w:w="3135" w:type="dxa"/>
          </w:tcPr>
          <w:p w14:paraId="2C13FFED" w14:textId="475A032C" w:rsidR="00B9135C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Naprawa (stacji/podstawy</w:t>
            </w:r>
            <w:r w:rsidR="00F7298A" w:rsidRPr="00EC1A42">
              <w:rPr>
                <w:rFonts w:asciiTheme="majorHAnsi" w:hAnsiTheme="majorHAnsi" w:cstheme="majorHAnsi"/>
                <w:bCs/>
                <w:lang w:val="pl-PL"/>
              </w:rPr>
              <w:t xml:space="preserve"> </w:t>
            </w:r>
            <w:r w:rsidRPr="00EC1A42">
              <w:rPr>
                <w:rFonts w:asciiTheme="majorHAnsi" w:hAnsiTheme="majorHAnsi" w:cstheme="majorHAnsi"/>
                <w:bCs/>
                <w:lang w:val="pl-PL"/>
              </w:rPr>
              <w:t>dokującej</w:t>
            </w:r>
            <w:r w:rsidR="00F7298A" w:rsidRPr="00EC1A42">
              <w:rPr>
                <w:rFonts w:asciiTheme="majorHAnsi" w:hAnsiTheme="majorHAnsi" w:cstheme="majorHAnsi"/>
                <w:bCs/>
                <w:lang w:val="pl-PL"/>
              </w:rPr>
              <w:t>)</w:t>
            </w:r>
          </w:p>
        </w:tc>
        <w:tc>
          <w:tcPr>
            <w:tcW w:w="3135" w:type="dxa"/>
          </w:tcPr>
          <w:p w14:paraId="164DE85D" w14:textId="3D1B90BA" w:rsidR="00B9135C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100</w:t>
            </w:r>
            <w:r w:rsidR="00F7298A" w:rsidRPr="00EC1A42">
              <w:rPr>
                <w:rFonts w:asciiTheme="majorHAnsi" w:hAnsiTheme="majorHAnsi" w:cstheme="majorHAnsi"/>
                <w:bCs/>
                <w:lang w:val="pl-PL"/>
              </w:rPr>
              <w:t>szt.</w:t>
            </w:r>
          </w:p>
        </w:tc>
        <w:tc>
          <w:tcPr>
            <w:tcW w:w="3135" w:type="dxa"/>
          </w:tcPr>
          <w:p w14:paraId="45D7F347" w14:textId="77777777" w:rsidR="00B9135C" w:rsidRPr="00EC1A42" w:rsidRDefault="00B9135C">
            <w:pPr>
              <w:rPr>
                <w:rFonts w:asciiTheme="majorHAnsi" w:hAnsiTheme="majorHAnsi" w:cstheme="majorHAnsi"/>
                <w:bCs/>
                <w:lang w:val="pl-PL"/>
              </w:rPr>
            </w:pPr>
          </w:p>
        </w:tc>
      </w:tr>
      <w:tr w:rsidR="00EA5EBE" w:rsidRPr="00EC1A42" w14:paraId="444E0406" w14:textId="77777777">
        <w:tc>
          <w:tcPr>
            <w:tcW w:w="3135" w:type="dxa"/>
          </w:tcPr>
          <w:p w14:paraId="0277FDC9" w14:textId="3E0F8315" w:rsidR="00EA5EBE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Naprawa/wymiana zasilacza</w:t>
            </w:r>
          </w:p>
        </w:tc>
        <w:tc>
          <w:tcPr>
            <w:tcW w:w="3135" w:type="dxa"/>
          </w:tcPr>
          <w:p w14:paraId="504FB19B" w14:textId="6DDA52F2" w:rsidR="00EA5EBE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100szt.</w:t>
            </w:r>
          </w:p>
        </w:tc>
        <w:tc>
          <w:tcPr>
            <w:tcW w:w="3135" w:type="dxa"/>
          </w:tcPr>
          <w:p w14:paraId="1C5D59E2" w14:textId="77777777" w:rsidR="00EA5EBE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</w:p>
        </w:tc>
      </w:tr>
      <w:tr w:rsidR="00EA5EBE" w:rsidRPr="00EC1A42" w14:paraId="65237948" w14:textId="77777777">
        <w:tc>
          <w:tcPr>
            <w:tcW w:w="3135" w:type="dxa"/>
          </w:tcPr>
          <w:p w14:paraId="7FFD3A9C" w14:textId="0BB5D056" w:rsidR="00EA5EBE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Wymiana baterii (nowa, ≥ 12 m</w:t>
            </w:r>
            <w:r w:rsidRPr="00EC1A42">
              <w:rPr>
                <w:rFonts w:ascii="Cambria Math" w:hAnsi="Cambria Math" w:cs="Cambria Math"/>
                <w:bCs/>
                <w:lang w:val="pl-PL"/>
              </w:rPr>
              <w:t>‑</w:t>
            </w:r>
            <w:proofErr w:type="spellStart"/>
            <w:r w:rsidRPr="00EC1A42">
              <w:rPr>
                <w:rFonts w:asciiTheme="majorHAnsi" w:hAnsiTheme="majorHAnsi" w:cstheme="majorHAnsi"/>
                <w:bCs/>
                <w:lang w:val="pl-PL"/>
              </w:rPr>
              <w:t>cy</w:t>
            </w:r>
            <w:proofErr w:type="spellEnd"/>
            <w:r w:rsidRPr="00EC1A42">
              <w:rPr>
                <w:rFonts w:asciiTheme="majorHAnsi" w:hAnsiTheme="majorHAnsi" w:cstheme="majorHAnsi"/>
                <w:bCs/>
                <w:lang w:val="pl-PL"/>
              </w:rPr>
              <w:t xml:space="preserve"> gwarancji)</w:t>
            </w:r>
          </w:p>
        </w:tc>
        <w:tc>
          <w:tcPr>
            <w:tcW w:w="3135" w:type="dxa"/>
          </w:tcPr>
          <w:p w14:paraId="30BE6A1C" w14:textId="028D2BA8" w:rsidR="00EA5EBE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100szt.</w:t>
            </w:r>
          </w:p>
        </w:tc>
        <w:tc>
          <w:tcPr>
            <w:tcW w:w="3135" w:type="dxa"/>
          </w:tcPr>
          <w:p w14:paraId="13F97C55" w14:textId="77777777" w:rsidR="00EA5EBE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</w:p>
        </w:tc>
      </w:tr>
      <w:tr w:rsidR="00EA5EBE" w:rsidRPr="00EC1A42" w14:paraId="2A72F3DD" w14:textId="77777777">
        <w:tc>
          <w:tcPr>
            <w:tcW w:w="3135" w:type="dxa"/>
          </w:tcPr>
          <w:p w14:paraId="1CF0A609" w14:textId="12647FAE" w:rsidR="00EA5EBE" w:rsidRPr="00EC1A42" w:rsidRDefault="00EA5EBE">
            <w:pPr>
              <w:rPr>
                <w:rFonts w:asciiTheme="majorHAnsi" w:hAnsiTheme="majorHAnsi" w:cstheme="majorHAnsi"/>
                <w:bCs/>
              </w:rPr>
            </w:pPr>
            <w:r w:rsidRPr="00EC1A42">
              <w:rPr>
                <w:rFonts w:asciiTheme="majorHAnsi" w:hAnsiTheme="majorHAnsi" w:cstheme="majorHAnsi"/>
                <w:bCs/>
              </w:rPr>
              <w:t xml:space="preserve">Transport – </w:t>
            </w:r>
            <w:proofErr w:type="spellStart"/>
            <w:r w:rsidRPr="00EC1A42">
              <w:rPr>
                <w:rFonts w:asciiTheme="majorHAnsi" w:hAnsiTheme="majorHAnsi" w:cstheme="majorHAnsi"/>
                <w:bCs/>
              </w:rPr>
              <w:t>przesyłka</w:t>
            </w:r>
            <w:proofErr w:type="spellEnd"/>
            <w:r w:rsidRPr="00EC1A42">
              <w:rPr>
                <w:rFonts w:asciiTheme="majorHAnsi" w:hAnsiTheme="majorHAnsi" w:cstheme="majorHAnsi"/>
                <w:bCs/>
              </w:rPr>
              <w:t xml:space="preserve"> door</w:t>
            </w:r>
            <w:r w:rsidRPr="00EC1A42">
              <w:rPr>
                <w:rFonts w:ascii="Cambria Math" w:hAnsi="Cambria Math" w:cs="Cambria Math"/>
                <w:bCs/>
              </w:rPr>
              <w:t>‑</w:t>
            </w:r>
            <w:r w:rsidRPr="00EC1A42">
              <w:rPr>
                <w:rFonts w:asciiTheme="majorHAnsi" w:hAnsiTheme="majorHAnsi" w:cstheme="majorHAnsi"/>
                <w:bCs/>
              </w:rPr>
              <w:t>to</w:t>
            </w:r>
            <w:r w:rsidRPr="00EC1A42">
              <w:rPr>
                <w:rFonts w:ascii="Cambria Math" w:hAnsi="Cambria Math" w:cs="Cambria Math"/>
                <w:bCs/>
              </w:rPr>
              <w:t>‑</w:t>
            </w:r>
            <w:r w:rsidRPr="00EC1A42">
              <w:rPr>
                <w:rFonts w:asciiTheme="majorHAnsi" w:hAnsiTheme="majorHAnsi" w:cstheme="majorHAnsi"/>
                <w:bCs/>
              </w:rPr>
              <w:t>door</w:t>
            </w:r>
          </w:p>
        </w:tc>
        <w:tc>
          <w:tcPr>
            <w:tcW w:w="3135" w:type="dxa"/>
          </w:tcPr>
          <w:p w14:paraId="571E69CE" w14:textId="5D12FBB3" w:rsidR="00EA5EBE" w:rsidRPr="00EC1A42" w:rsidRDefault="00032200">
            <w:pPr>
              <w:rPr>
                <w:rFonts w:asciiTheme="majorHAnsi" w:hAnsiTheme="majorHAnsi" w:cstheme="majorHAnsi"/>
                <w:bCs/>
                <w:lang w:val="pl-PL"/>
              </w:rPr>
            </w:pPr>
            <w:r w:rsidRPr="00EC1A42">
              <w:rPr>
                <w:rFonts w:asciiTheme="majorHAnsi" w:hAnsiTheme="majorHAnsi" w:cstheme="majorHAnsi"/>
                <w:bCs/>
                <w:lang w:val="pl-PL"/>
              </w:rPr>
              <w:t>15</w:t>
            </w:r>
            <w:r w:rsidR="00AC3C59" w:rsidRPr="00EC1A42">
              <w:rPr>
                <w:rFonts w:asciiTheme="majorHAnsi" w:hAnsiTheme="majorHAnsi" w:cstheme="majorHAnsi"/>
                <w:bCs/>
                <w:lang w:val="pl-PL"/>
              </w:rPr>
              <w:t>0 szt.</w:t>
            </w:r>
          </w:p>
        </w:tc>
        <w:tc>
          <w:tcPr>
            <w:tcW w:w="3135" w:type="dxa"/>
          </w:tcPr>
          <w:p w14:paraId="44CDE910" w14:textId="77777777" w:rsidR="00EA5EBE" w:rsidRPr="00EC1A42" w:rsidRDefault="00EA5EBE">
            <w:pPr>
              <w:rPr>
                <w:rFonts w:asciiTheme="majorHAnsi" w:hAnsiTheme="majorHAnsi" w:cstheme="majorHAnsi"/>
                <w:bCs/>
                <w:lang w:val="pl-PL"/>
              </w:rPr>
            </w:pPr>
          </w:p>
        </w:tc>
      </w:tr>
    </w:tbl>
    <w:p w14:paraId="41C807A3" w14:textId="77777777" w:rsidR="00B9135C" w:rsidRPr="00EC1A42" w:rsidRDefault="00F7298A">
      <w:pPr>
        <w:pStyle w:val="Nagwek2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5.4 Odbiór, protokoły i gwarancja</w:t>
      </w:r>
    </w:p>
    <w:p w14:paraId="31D9C70A" w14:textId="56AA3F50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Odbiór usług na podstawie protokołu naprawy zawierającego co najmniej: identyfikator/SN akcesorium, opis usterki, wykonane czynności, listę części.</w:t>
      </w:r>
    </w:p>
    <w:p w14:paraId="0AB5A7C6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Gwarancja na naprawy: min. 6 miesięcy; na baterie nowe: min. 12 miesięcy.</w:t>
      </w:r>
    </w:p>
    <w:p w14:paraId="75F201F0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6. Wymagania organizacyjne wspólne dla obu zadań</w:t>
      </w:r>
    </w:p>
    <w:p w14:paraId="60413811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Zgłoszenia: portal serwisowy, e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mail, telefon; prowadzenie RMA i statusów on</w:t>
      </w:r>
      <w:r w:rsidRPr="00EC1A42">
        <w:rPr>
          <w:rFonts w:ascii="Cambria Math" w:hAnsi="Cambria Math" w:cs="Cambria Math"/>
          <w:bCs/>
          <w:lang w:val="pl-PL"/>
        </w:rPr>
        <w:t>‑</w:t>
      </w:r>
      <w:r w:rsidRPr="00EC1A42">
        <w:rPr>
          <w:rFonts w:asciiTheme="majorHAnsi" w:hAnsiTheme="majorHAnsi" w:cstheme="majorHAnsi"/>
          <w:bCs/>
          <w:lang w:val="pl-PL"/>
        </w:rPr>
        <w:t>line.</w:t>
      </w:r>
    </w:p>
    <w:p w14:paraId="4110C2F6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W przypadku odrzucenia naprawy z uwagi na nieopłacalność – kontakt z Zamawiającym z propozycją alternatywy (naprawa/wymiana).</w:t>
      </w:r>
    </w:p>
    <w:p w14:paraId="3B142897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Zamawiający nie wymaga minimalnej liczby zleceń – rozliczenie sukcesywne wg rzeczywiście wykonanych usług.</w:t>
      </w:r>
    </w:p>
    <w:p w14:paraId="0F65FECD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7. Terminy realizacji</w:t>
      </w:r>
    </w:p>
    <w:p w14:paraId="56ECBF0F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Zadanie 1: 12 miesięcy od aktywacji kontraktu dla każdego urządzenia.</w:t>
      </w:r>
    </w:p>
    <w:p w14:paraId="536A9251" w14:textId="77777777" w:rsidR="00B9135C" w:rsidRPr="00EC1A42" w:rsidRDefault="00F7298A">
      <w:pPr>
        <w:pStyle w:val="Listanumer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Zadanie 2: 12 miesięcy od dnia zawarcia umowy.</w:t>
      </w:r>
    </w:p>
    <w:p w14:paraId="3A7C0E89" w14:textId="77777777" w:rsidR="00B9135C" w:rsidRPr="00EC1A42" w:rsidRDefault="00F7298A">
      <w:pPr>
        <w:pStyle w:val="Nagwek1"/>
        <w:rPr>
          <w:rFonts w:cstheme="majorHAnsi"/>
          <w:b w:val="0"/>
          <w:color w:val="auto"/>
          <w:sz w:val="22"/>
          <w:szCs w:val="22"/>
          <w:lang w:val="pl-PL"/>
        </w:rPr>
      </w:pPr>
      <w:r w:rsidRPr="00EC1A42">
        <w:rPr>
          <w:rFonts w:cstheme="majorHAnsi"/>
          <w:b w:val="0"/>
          <w:color w:val="auto"/>
          <w:sz w:val="22"/>
          <w:szCs w:val="22"/>
          <w:lang w:val="pl-PL"/>
        </w:rPr>
        <w:t>8. Postanowienia końcowe</w:t>
      </w:r>
    </w:p>
    <w:p w14:paraId="444660D5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Zamawiający zastrzega prawo do niepełnego wykorzystania zakresu zamówienia bez roszczeń Wykonawcy.</w:t>
      </w:r>
    </w:p>
    <w:p w14:paraId="5AFD94A8" w14:textId="77777777" w:rsidR="00B9135C" w:rsidRPr="00EC1A42" w:rsidRDefault="00F7298A">
      <w:pPr>
        <w:pStyle w:val="Listapunktowana"/>
        <w:rPr>
          <w:rFonts w:asciiTheme="majorHAnsi" w:hAnsiTheme="majorHAnsi" w:cstheme="majorHAnsi"/>
          <w:bCs/>
          <w:lang w:val="pl-PL"/>
        </w:rPr>
      </w:pPr>
      <w:r w:rsidRPr="00EC1A42">
        <w:rPr>
          <w:rFonts w:asciiTheme="majorHAnsi" w:hAnsiTheme="majorHAnsi" w:cstheme="majorHAnsi"/>
          <w:bCs/>
          <w:lang w:val="pl-PL"/>
        </w:rPr>
        <w:t>Wymagania określone w niniejszym OPZ stanowią minimalne; wszelkie czynności niezbędne do przywrócenia funkcjonalności i bezpieczeństwa urządzeń należy traktować jako objęte usługą.</w:t>
      </w:r>
    </w:p>
    <w:sectPr w:rsidR="00B9135C" w:rsidRPr="00EC1A42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2200"/>
    <w:rsid w:val="00034616"/>
    <w:rsid w:val="0006063C"/>
    <w:rsid w:val="0015074B"/>
    <w:rsid w:val="00170D24"/>
    <w:rsid w:val="0029639D"/>
    <w:rsid w:val="002C3009"/>
    <w:rsid w:val="0030541A"/>
    <w:rsid w:val="00326F90"/>
    <w:rsid w:val="00384778"/>
    <w:rsid w:val="006778A8"/>
    <w:rsid w:val="006B0F64"/>
    <w:rsid w:val="00744457"/>
    <w:rsid w:val="007E2434"/>
    <w:rsid w:val="00862834"/>
    <w:rsid w:val="00924417"/>
    <w:rsid w:val="00A00766"/>
    <w:rsid w:val="00A33EE4"/>
    <w:rsid w:val="00AA1D8D"/>
    <w:rsid w:val="00AC3C59"/>
    <w:rsid w:val="00AC3E9F"/>
    <w:rsid w:val="00B47730"/>
    <w:rsid w:val="00B9135C"/>
    <w:rsid w:val="00CB0664"/>
    <w:rsid w:val="00CD46DF"/>
    <w:rsid w:val="00D01139"/>
    <w:rsid w:val="00E2430E"/>
    <w:rsid w:val="00EA5EBE"/>
    <w:rsid w:val="00EC1A42"/>
    <w:rsid w:val="00F729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07CCDE"/>
  <w14:defaultImageDpi w14:val="300"/>
  <w15:docId w15:val="{CD1A2D3C-0430-438E-B6FC-033BCC1B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B0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F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873E7C-C207-47E9-84A3-91916FD2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781</Words>
  <Characters>4688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5459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Stawiany Mateusz</dc:creator>
  <cp:keywords/>
  <dc:description>generated by python-docx</dc:description>
  <cp:lastModifiedBy>Mariola Uciekałek</cp:lastModifiedBy>
  <cp:revision>39</cp:revision>
  <cp:lastPrinted>2025-11-13T08:57:00Z</cp:lastPrinted>
  <dcterms:created xsi:type="dcterms:W3CDTF">2013-12-23T23:15:00Z</dcterms:created>
  <dcterms:modified xsi:type="dcterms:W3CDTF">2025-11-21T12:45:00Z</dcterms:modified>
  <cp:category/>
</cp:coreProperties>
</file>